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xlsm" ContentType="application/vnd.ms-excel.sheet.macroEnabled.12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0E02B" w14:textId="77777777" w:rsidR="006E5D9B" w:rsidRDefault="006E5D9B" w:rsidP="006E5D9B">
      <w:pPr>
        <w:spacing w:line="276" w:lineRule="auto"/>
        <w:jc w:val="center"/>
        <w:rPr>
          <w:rFonts w:ascii="Arial" w:hAnsi="Arial" w:cs="Arial"/>
          <w:b/>
          <w:sz w:val="28"/>
          <w:u w:val="single"/>
        </w:rPr>
      </w:pPr>
    </w:p>
    <w:p w14:paraId="2314A132" w14:textId="77777777" w:rsidR="006E5D9B" w:rsidRDefault="006E5D9B" w:rsidP="006E5D9B">
      <w:pPr>
        <w:spacing w:line="276" w:lineRule="auto"/>
        <w:jc w:val="center"/>
        <w:rPr>
          <w:rFonts w:ascii="Arial" w:hAnsi="Arial" w:cs="Arial"/>
          <w:b/>
          <w:sz w:val="28"/>
          <w:u w:val="single"/>
        </w:rPr>
      </w:pPr>
    </w:p>
    <w:p w14:paraId="6978D141" w14:textId="77777777" w:rsidR="006E5D9B" w:rsidRDefault="006E5D9B" w:rsidP="006E5D9B">
      <w:pPr>
        <w:spacing w:line="276" w:lineRule="auto"/>
        <w:jc w:val="center"/>
        <w:rPr>
          <w:rFonts w:ascii="Arial" w:hAnsi="Arial" w:cs="Arial"/>
          <w:b/>
          <w:sz w:val="28"/>
          <w:u w:val="single"/>
        </w:rPr>
      </w:pPr>
    </w:p>
    <w:p w14:paraId="5B009F80" w14:textId="77777777" w:rsidR="006E5D9B" w:rsidRDefault="006E5D9B" w:rsidP="006E5D9B">
      <w:pPr>
        <w:spacing w:line="276" w:lineRule="auto"/>
        <w:jc w:val="center"/>
        <w:rPr>
          <w:rFonts w:ascii="Arial" w:hAnsi="Arial" w:cs="Arial"/>
          <w:b/>
          <w:sz w:val="28"/>
          <w:u w:val="single"/>
        </w:rPr>
      </w:pPr>
    </w:p>
    <w:p w14:paraId="3A8A1D9B" w14:textId="77777777" w:rsidR="006E5D9B" w:rsidRPr="0025568D" w:rsidRDefault="006E5D9B" w:rsidP="006E5D9B">
      <w:pPr>
        <w:spacing w:line="276" w:lineRule="auto"/>
        <w:jc w:val="center"/>
        <w:rPr>
          <w:rFonts w:ascii="Arial" w:hAnsi="Arial" w:cs="Arial"/>
          <w:b/>
          <w:sz w:val="28"/>
          <w:u w:val="single"/>
        </w:rPr>
      </w:pPr>
      <w:r w:rsidRPr="0025568D">
        <w:rPr>
          <w:rFonts w:ascii="Arial" w:hAnsi="Arial" w:cs="Arial"/>
          <w:b/>
          <w:sz w:val="28"/>
          <w:u w:val="single"/>
        </w:rPr>
        <w:t xml:space="preserve">Procedures for HLN Students within the Western BoP RTLB Service </w:t>
      </w:r>
    </w:p>
    <w:p w14:paraId="5F9EA04B" w14:textId="77777777" w:rsidR="006E5D9B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6378470B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Western BoP RTLB will provide a service to High Learning Needs (HLN) students working within Level 1 of the NZ Curriculum. </w:t>
      </w:r>
    </w:p>
    <w:p w14:paraId="184A5D1F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77E325DB" w14:textId="77777777" w:rsidR="006E5D9B" w:rsidRPr="0025568D" w:rsidRDefault="006E5D9B" w:rsidP="006E5D9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b/>
          <w:sz w:val="22"/>
          <w:szCs w:val="22"/>
        </w:rPr>
        <w:t>Eligibility Criteria:</w:t>
      </w:r>
    </w:p>
    <w:p w14:paraId="60303A38" w14:textId="77777777" w:rsidR="006E5D9B" w:rsidRDefault="006E5D9B" w:rsidP="006E5D9B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student will be on the Western BoP RTLB roll. </w:t>
      </w:r>
    </w:p>
    <w:p w14:paraId="35365355" w14:textId="77777777" w:rsidR="006E5D9B" w:rsidRPr="0025568D" w:rsidRDefault="006E5D9B" w:rsidP="006E5D9B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The student’s achievement in literacy and numeracy is at or below Level 1 of the NZ Curriculum (students will generally be in Years 3 – 10)</w:t>
      </w:r>
    </w:p>
    <w:p w14:paraId="0027A752" w14:textId="77777777" w:rsidR="006E5D9B" w:rsidRPr="0025568D" w:rsidRDefault="006E5D9B" w:rsidP="006E5D9B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The student is well known to MOE and/or RTLB and is considered a priority for, and likely to benefit from, HLN support.</w:t>
      </w:r>
    </w:p>
    <w:p w14:paraId="0C4A9430" w14:textId="77777777" w:rsidR="006E5D9B" w:rsidRPr="0025568D" w:rsidRDefault="006E5D9B" w:rsidP="006E5D9B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Significant individualised assistance is currently and/or has historically been provided for the student to allow them to access the curriculum.</w:t>
      </w:r>
    </w:p>
    <w:p w14:paraId="2423AD0A" w14:textId="77777777" w:rsidR="006E5D9B" w:rsidRPr="0025568D" w:rsidRDefault="006E5D9B" w:rsidP="006E5D9B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The student has a history of intensive use of specialist resources (where access has been available)</w:t>
      </w:r>
    </w:p>
    <w:p w14:paraId="07B211F3" w14:textId="77777777" w:rsidR="006E5D9B" w:rsidRPr="0025568D" w:rsidRDefault="006E5D9B" w:rsidP="006E5D9B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The student is likely to have had an ORS application submitted and declined</w:t>
      </w:r>
    </w:p>
    <w:p w14:paraId="556739C8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74208D13" w14:textId="77777777" w:rsidR="006E5D9B" w:rsidRPr="0025568D" w:rsidRDefault="006E5D9B" w:rsidP="006E5D9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Age referenced literacy and numeracy measures indicate achievement at level one on the NZ curriculum framework</w:t>
      </w:r>
    </w:p>
    <w:p w14:paraId="1FD10B23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31A513A9" w14:textId="529257F0" w:rsidR="006E5D9B" w:rsidRPr="0025568D" w:rsidRDefault="00010E94" w:rsidP="006E5D9B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b/>
          <w:noProof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1" wp14:anchorId="4280AEBB" wp14:editId="59F4C32A">
            <wp:simplePos x="0" y="0"/>
            <wp:positionH relativeFrom="column">
              <wp:posOffset>1028700</wp:posOffset>
            </wp:positionH>
            <wp:positionV relativeFrom="paragraph">
              <wp:posOffset>114935</wp:posOffset>
            </wp:positionV>
            <wp:extent cx="4413885" cy="2720975"/>
            <wp:effectExtent l="0" t="0" r="31115" b="22225"/>
            <wp:wrapThrough wrapText="bothSides">
              <wp:wrapPolygon edited="0">
                <wp:start x="0" y="0"/>
                <wp:lineTo x="0" y="21575"/>
                <wp:lineTo x="21628" y="21575"/>
                <wp:lineTo x="21628" y="0"/>
                <wp:lineTo x="0" y="0"/>
              </wp:wrapPolygon>
            </wp:wrapThrough>
            <wp:docPr id="3" name="Char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EFFAFC" w14:textId="482BC78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257C5F0E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2F5756D5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44AAEC71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6C3D7454" w14:textId="77777777" w:rsidR="006E5D9B" w:rsidRPr="0025568D" w:rsidRDefault="006E5D9B" w:rsidP="006E5D9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A4AD16" w14:textId="77777777" w:rsidR="006E5D9B" w:rsidRPr="0025568D" w:rsidRDefault="006E5D9B" w:rsidP="006E5D9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490CE21" w14:textId="77777777" w:rsidR="006E5D9B" w:rsidRPr="0025568D" w:rsidRDefault="006E5D9B" w:rsidP="006E5D9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240971C" w14:textId="77777777" w:rsidR="006E5D9B" w:rsidRPr="0025568D" w:rsidRDefault="006E5D9B" w:rsidP="006E5D9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2F2062E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79E3F9F5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39F937BF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28DC6B16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2B04F686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787229C0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4EB897FF" w14:textId="77777777" w:rsidR="006E5D9B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1DF0138D" w14:textId="77777777" w:rsidR="00010E94" w:rsidRDefault="00010E94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1AABE52F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This graph gives a rough indication of likely attainment age for students achieving at Level 1. </w:t>
      </w:r>
    </w:p>
    <w:p w14:paraId="4F8403DB" w14:textId="77777777" w:rsidR="006E5D9B" w:rsidRPr="0025568D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For students in their first year of school or not yet scoring on age referenced achievement tests, language comprehension measures can be used instead of achievement data.</w:t>
      </w:r>
    </w:p>
    <w:p w14:paraId="3D907DE0" w14:textId="4B052F55" w:rsidR="006E5D9B" w:rsidRDefault="006E5D9B" w:rsidP="006E5D9B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Performance against these criteria should be demonstrated by current assessment data – less than 3 months old.</w:t>
      </w:r>
    </w:p>
    <w:p w14:paraId="037EBCE1" w14:textId="77777777" w:rsidR="00010E94" w:rsidRDefault="00010E94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3020BFD5" w14:textId="77777777" w:rsidR="00010E94" w:rsidRDefault="00010E94" w:rsidP="006E5D9B">
      <w:pPr>
        <w:spacing w:line="276" w:lineRule="auto"/>
        <w:rPr>
          <w:rFonts w:ascii="Arial" w:hAnsi="Arial" w:cs="Arial"/>
          <w:sz w:val="22"/>
          <w:szCs w:val="22"/>
        </w:rPr>
      </w:pPr>
    </w:p>
    <w:p w14:paraId="172BA1A1" w14:textId="77777777" w:rsidR="00010E94" w:rsidRPr="0025568D" w:rsidRDefault="00010E94" w:rsidP="00010E9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b/>
          <w:sz w:val="22"/>
          <w:szCs w:val="22"/>
        </w:rPr>
        <w:lastRenderedPageBreak/>
        <w:t>Assessment Criteria</w:t>
      </w:r>
    </w:p>
    <w:p w14:paraId="7FE45CA6" w14:textId="77777777" w:rsidR="00010E94" w:rsidRPr="0025568D" w:rsidRDefault="00010E94" w:rsidP="00010E9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b/>
          <w:sz w:val="22"/>
          <w:szCs w:val="22"/>
        </w:rPr>
        <w:t>Data Collection required:</w:t>
      </w:r>
    </w:p>
    <w:p w14:paraId="76C35139" w14:textId="77777777" w:rsidR="00010E94" w:rsidRPr="0025568D" w:rsidRDefault="00010E94" w:rsidP="00010E9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b/>
          <w:sz w:val="22"/>
          <w:szCs w:val="22"/>
        </w:rPr>
        <w:t>Reading:</w:t>
      </w:r>
    </w:p>
    <w:p w14:paraId="3E1000E7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Reading assessments must be at </w:t>
      </w:r>
      <w:r>
        <w:rPr>
          <w:rFonts w:ascii="Arial" w:hAnsi="Arial" w:cs="Arial"/>
          <w:b/>
          <w:sz w:val="22"/>
          <w:szCs w:val="22"/>
        </w:rPr>
        <w:t>m</w:t>
      </w:r>
      <w:r w:rsidRPr="0003597B">
        <w:rPr>
          <w:rFonts w:ascii="Arial" w:hAnsi="Arial" w:cs="Arial"/>
          <w:b/>
          <w:sz w:val="22"/>
          <w:szCs w:val="22"/>
        </w:rPr>
        <w:t>astery</w:t>
      </w:r>
      <w:r w:rsidRPr="0025568D">
        <w:rPr>
          <w:rFonts w:ascii="Arial" w:hAnsi="Arial" w:cs="Arial"/>
          <w:sz w:val="22"/>
          <w:szCs w:val="22"/>
        </w:rPr>
        <w:t xml:space="preserve"> (unseen, analysed Running Record with accuracy of 96% or above and a comprehension of 80% or above).</w:t>
      </w:r>
    </w:p>
    <w:p w14:paraId="06FF67E0" w14:textId="77777777" w:rsidR="00010E94" w:rsidRPr="0025568D" w:rsidRDefault="00010E94" w:rsidP="00010E9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b/>
          <w:sz w:val="22"/>
          <w:szCs w:val="22"/>
        </w:rPr>
        <w:t>Written Language:</w:t>
      </w:r>
    </w:p>
    <w:p w14:paraId="0F40BA92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An unassisted writing sample of a personal recount showing written language is within Level one (analysed against the </w:t>
      </w:r>
      <w:r w:rsidRPr="0025568D">
        <w:rPr>
          <w:rFonts w:ascii="Arial" w:hAnsi="Arial" w:cs="Arial"/>
          <w:i/>
          <w:sz w:val="22"/>
          <w:szCs w:val="22"/>
        </w:rPr>
        <w:t>NZ Curriculum Written Language Exemplars</w:t>
      </w:r>
      <w:r w:rsidRPr="0025568D">
        <w:rPr>
          <w:rFonts w:ascii="Arial" w:hAnsi="Arial" w:cs="Arial"/>
          <w:sz w:val="22"/>
          <w:szCs w:val="22"/>
        </w:rPr>
        <w:t>)</w:t>
      </w:r>
    </w:p>
    <w:p w14:paraId="41421D60" w14:textId="77777777" w:rsidR="00010E94" w:rsidRPr="0025568D" w:rsidRDefault="00010E94" w:rsidP="00010E9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b/>
          <w:sz w:val="22"/>
          <w:szCs w:val="22"/>
        </w:rPr>
        <w:t>Numeracy:</w:t>
      </w:r>
    </w:p>
    <w:p w14:paraId="206DB768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25568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n analysed</w:t>
      </w:r>
      <w:r w:rsidRPr="002556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568D">
        <w:rPr>
          <w:rFonts w:ascii="Arial" w:hAnsi="Arial" w:cs="Arial"/>
          <w:sz w:val="22"/>
          <w:szCs w:val="22"/>
        </w:rPr>
        <w:t>NumPA</w:t>
      </w:r>
      <w:proofErr w:type="spellEnd"/>
      <w:r w:rsidRPr="0025568D">
        <w:rPr>
          <w:rFonts w:ascii="Arial" w:hAnsi="Arial" w:cs="Arial"/>
          <w:sz w:val="22"/>
          <w:szCs w:val="22"/>
        </w:rPr>
        <w:t xml:space="preserve"> Form A or B or JAM assessment for knowledge and strategy.</w:t>
      </w:r>
      <w:proofErr w:type="gramEnd"/>
      <w:r w:rsidRPr="0025568D">
        <w:rPr>
          <w:rFonts w:ascii="Arial" w:hAnsi="Arial" w:cs="Arial"/>
          <w:sz w:val="22"/>
          <w:szCs w:val="22"/>
        </w:rPr>
        <w:t xml:space="preserve"> </w:t>
      </w:r>
    </w:p>
    <w:p w14:paraId="2C21C7DB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</w:p>
    <w:p w14:paraId="26FCE371" w14:textId="77777777" w:rsidR="00010E94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For further assessment under a 5yr old performance level, the HLN Moderation Committee will </w:t>
      </w:r>
      <w:r>
        <w:rPr>
          <w:rFonts w:ascii="Arial" w:hAnsi="Arial" w:cs="Arial"/>
          <w:sz w:val="22"/>
          <w:szCs w:val="22"/>
        </w:rPr>
        <w:t xml:space="preserve">also </w:t>
      </w:r>
      <w:r w:rsidRPr="0025568D">
        <w:rPr>
          <w:rFonts w:ascii="Arial" w:hAnsi="Arial" w:cs="Arial"/>
          <w:sz w:val="22"/>
          <w:szCs w:val="22"/>
        </w:rPr>
        <w:t>accept</w:t>
      </w:r>
      <w:r>
        <w:rPr>
          <w:rFonts w:ascii="Arial" w:hAnsi="Arial" w:cs="Arial"/>
          <w:sz w:val="22"/>
          <w:szCs w:val="22"/>
        </w:rPr>
        <w:t xml:space="preserve"> the following: </w:t>
      </w:r>
    </w:p>
    <w:p w14:paraId="4EAE3972" w14:textId="77777777" w:rsidR="00010E94" w:rsidRDefault="00010E94" w:rsidP="00010E94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Speech and Language Therapist A</w:t>
      </w:r>
      <w:r w:rsidRPr="00E95975">
        <w:rPr>
          <w:rFonts w:ascii="Arial" w:hAnsi="Arial" w:cs="Arial"/>
          <w:sz w:val="22"/>
          <w:szCs w:val="22"/>
        </w:rPr>
        <w:t xml:space="preserve">ssessment that demonstrates where the student is currently performing. </w:t>
      </w:r>
    </w:p>
    <w:p w14:paraId="0CDEAAA0" w14:textId="77777777" w:rsidR="00010E94" w:rsidRDefault="00010E94" w:rsidP="00010E94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E95975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Whariki</w:t>
      </w:r>
      <w:proofErr w:type="spellEnd"/>
      <w:r>
        <w:rPr>
          <w:rFonts w:ascii="Arial" w:hAnsi="Arial" w:cs="Arial"/>
          <w:sz w:val="22"/>
          <w:szCs w:val="22"/>
        </w:rPr>
        <w:t xml:space="preserve"> Checklist</w:t>
      </w:r>
    </w:p>
    <w:p w14:paraId="5544784B" w14:textId="77777777" w:rsidR="00010E94" w:rsidRPr="00E95975" w:rsidRDefault="00010E94" w:rsidP="00010E94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Ages and Stages Checklist </w:t>
      </w:r>
    </w:p>
    <w:p w14:paraId="3EC7A99E" w14:textId="77777777" w:rsidR="00010E94" w:rsidRPr="0025568D" w:rsidRDefault="00010E94" w:rsidP="00010E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C2DA1C" w14:textId="586FD319" w:rsidR="00010E94" w:rsidRPr="0025568D" w:rsidRDefault="00010E94" w:rsidP="00010E9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b/>
          <w:sz w:val="22"/>
          <w:szCs w:val="22"/>
        </w:rPr>
        <w:t xml:space="preserve">HLN </w:t>
      </w:r>
      <w:r w:rsidR="000315A8">
        <w:rPr>
          <w:rFonts w:ascii="Arial" w:hAnsi="Arial" w:cs="Arial"/>
          <w:b/>
          <w:sz w:val="22"/>
          <w:szCs w:val="22"/>
        </w:rPr>
        <w:t xml:space="preserve">and ICS </w:t>
      </w:r>
      <w:r w:rsidRPr="0025568D">
        <w:rPr>
          <w:rFonts w:ascii="Arial" w:hAnsi="Arial" w:cs="Arial"/>
          <w:b/>
          <w:sz w:val="22"/>
          <w:szCs w:val="22"/>
        </w:rPr>
        <w:t>Students moving into our cluster:</w:t>
      </w:r>
    </w:p>
    <w:p w14:paraId="2A361121" w14:textId="77777777" w:rsidR="00010E94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Students who have HLN status in another RTLB cluster and m</w:t>
      </w:r>
      <w:bookmarkStart w:id="0" w:name="_GoBack"/>
      <w:bookmarkEnd w:id="0"/>
      <w:r w:rsidRPr="0025568D">
        <w:rPr>
          <w:rFonts w:ascii="Arial" w:hAnsi="Arial" w:cs="Arial"/>
          <w:sz w:val="22"/>
          <w:szCs w:val="22"/>
        </w:rPr>
        <w:t>ove</w:t>
      </w:r>
      <w:r>
        <w:rPr>
          <w:rFonts w:ascii="Arial" w:hAnsi="Arial" w:cs="Arial"/>
          <w:sz w:val="22"/>
          <w:szCs w:val="22"/>
        </w:rPr>
        <w:t xml:space="preserve"> to</w:t>
      </w:r>
      <w:r w:rsidRPr="0025568D">
        <w:rPr>
          <w:rFonts w:ascii="Arial" w:hAnsi="Arial" w:cs="Arial"/>
          <w:sz w:val="22"/>
          <w:szCs w:val="22"/>
        </w:rPr>
        <w:t xml:space="preserve"> the Western BoP</w:t>
      </w:r>
      <w:r>
        <w:rPr>
          <w:rFonts w:ascii="Arial" w:hAnsi="Arial" w:cs="Arial"/>
          <w:sz w:val="22"/>
          <w:szCs w:val="22"/>
        </w:rPr>
        <w:t xml:space="preserve"> will</w:t>
      </w:r>
    </w:p>
    <w:p w14:paraId="773BF83A" w14:textId="77777777" w:rsidR="00010E94" w:rsidRDefault="00010E94" w:rsidP="00010E94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school puts in a RTLB referral if required. The student will then be </w:t>
      </w:r>
      <w:proofErr w:type="gramStart"/>
      <w:r>
        <w:rPr>
          <w:rFonts w:ascii="Arial" w:hAnsi="Arial" w:cs="Arial"/>
          <w:sz w:val="22"/>
          <w:szCs w:val="22"/>
        </w:rPr>
        <w:t>allocated</w:t>
      </w:r>
      <w:proofErr w:type="gramEnd"/>
      <w:r>
        <w:rPr>
          <w:rFonts w:ascii="Arial" w:hAnsi="Arial" w:cs="Arial"/>
          <w:sz w:val="22"/>
          <w:szCs w:val="22"/>
        </w:rPr>
        <w:t xml:space="preserve"> as per cluster guidelines, with priority given to this high needs student.  The student will then receive a RTLB service. </w:t>
      </w:r>
    </w:p>
    <w:p w14:paraId="720A6BF3" w14:textId="51E257D6" w:rsidR="000315A8" w:rsidRDefault="00010E94" w:rsidP="00010E94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Pr="009144F7">
        <w:rPr>
          <w:rFonts w:ascii="Arial" w:hAnsi="Arial" w:cs="Arial"/>
          <w:sz w:val="22"/>
          <w:szCs w:val="22"/>
        </w:rPr>
        <w:t xml:space="preserve">RTLB Cluster will move </w:t>
      </w:r>
      <w:r>
        <w:rPr>
          <w:rFonts w:ascii="Arial" w:hAnsi="Arial" w:cs="Arial"/>
          <w:sz w:val="22"/>
          <w:szCs w:val="22"/>
        </w:rPr>
        <w:t xml:space="preserve">the student </w:t>
      </w:r>
      <w:r w:rsidRPr="009144F7">
        <w:rPr>
          <w:rFonts w:ascii="Arial" w:hAnsi="Arial" w:cs="Arial"/>
          <w:sz w:val="22"/>
          <w:szCs w:val="22"/>
        </w:rPr>
        <w:t xml:space="preserve">onto the </w:t>
      </w:r>
      <w:r>
        <w:rPr>
          <w:rFonts w:ascii="Arial" w:hAnsi="Arial" w:cs="Arial"/>
          <w:sz w:val="22"/>
          <w:szCs w:val="22"/>
        </w:rPr>
        <w:t xml:space="preserve">HLN </w:t>
      </w:r>
      <w:r w:rsidR="00AB2CAC">
        <w:rPr>
          <w:rFonts w:ascii="Arial" w:hAnsi="Arial" w:cs="Arial"/>
          <w:sz w:val="22"/>
          <w:szCs w:val="22"/>
        </w:rPr>
        <w:t>status</w:t>
      </w:r>
      <w:r w:rsidRPr="009144F7">
        <w:rPr>
          <w:rFonts w:ascii="Arial" w:hAnsi="Arial" w:cs="Arial"/>
          <w:sz w:val="22"/>
          <w:szCs w:val="22"/>
        </w:rPr>
        <w:t xml:space="preserve"> via </w:t>
      </w:r>
      <w:r w:rsidR="000315A8">
        <w:rPr>
          <w:rFonts w:ascii="Arial" w:hAnsi="Arial" w:cs="Arial"/>
          <w:sz w:val="22"/>
          <w:szCs w:val="22"/>
        </w:rPr>
        <w:t>the cluster application process</w:t>
      </w:r>
      <w:r w:rsidRPr="009144F7">
        <w:rPr>
          <w:rFonts w:ascii="Arial" w:hAnsi="Arial" w:cs="Arial"/>
          <w:sz w:val="22"/>
          <w:szCs w:val="22"/>
        </w:rPr>
        <w:t xml:space="preserve"> </w:t>
      </w:r>
    </w:p>
    <w:p w14:paraId="52AEAFB9" w14:textId="3509383C" w:rsidR="00010E94" w:rsidRDefault="000315A8" w:rsidP="00010E94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RTLB Cluster will move the highest priority HLN students onto ICS </w:t>
      </w:r>
      <w:r w:rsidR="00010E94" w:rsidRPr="009144F7">
        <w:rPr>
          <w:rFonts w:ascii="Arial" w:hAnsi="Arial" w:cs="Arial"/>
          <w:sz w:val="22"/>
          <w:szCs w:val="22"/>
        </w:rPr>
        <w:t xml:space="preserve">when a vacancy occurs.  </w:t>
      </w:r>
    </w:p>
    <w:p w14:paraId="3DBF3388" w14:textId="6B28CB29" w:rsidR="000315A8" w:rsidRPr="009144F7" w:rsidRDefault="000315A8" w:rsidP="00010E94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RTLB cluster will </w:t>
      </w:r>
      <w:proofErr w:type="spellStart"/>
      <w:r>
        <w:rPr>
          <w:rFonts w:ascii="Arial" w:hAnsi="Arial" w:cs="Arial"/>
          <w:sz w:val="22"/>
          <w:szCs w:val="22"/>
        </w:rPr>
        <w:t>notifiy</w:t>
      </w:r>
      <w:proofErr w:type="spellEnd"/>
      <w:r>
        <w:rPr>
          <w:rFonts w:ascii="Arial" w:hAnsi="Arial" w:cs="Arial"/>
          <w:sz w:val="22"/>
          <w:szCs w:val="22"/>
        </w:rPr>
        <w:t xml:space="preserve"> MOE In Class Support of the ICS students on their RTLB role. </w:t>
      </w:r>
    </w:p>
    <w:p w14:paraId="1298205B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</w:p>
    <w:p w14:paraId="711DF5DB" w14:textId="77777777" w:rsidR="00010E94" w:rsidRPr="0025568D" w:rsidRDefault="00010E94" w:rsidP="00010E9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b/>
          <w:sz w:val="22"/>
          <w:szCs w:val="22"/>
        </w:rPr>
        <w:t>Moderation and Selection:</w:t>
      </w:r>
    </w:p>
    <w:p w14:paraId="256DD89B" w14:textId="5C2366D4" w:rsidR="00010E94" w:rsidRPr="0025568D" w:rsidRDefault="00010E94" w:rsidP="00010E94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Vacancies </w:t>
      </w:r>
      <w:r w:rsidR="000315A8">
        <w:rPr>
          <w:rFonts w:ascii="Arial" w:hAnsi="Arial" w:cs="Arial"/>
          <w:sz w:val="22"/>
          <w:szCs w:val="22"/>
        </w:rPr>
        <w:t xml:space="preserve">for </w:t>
      </w:r>
      <w:r w:rsidRPr="0025568D">
        <w:rPr>
          <w:rFonts w:ascii="Arial" w:hAnsi="Arial" w:cs="Arial"/>
          <w:sz w:val="22"/>
          <w:szCs w:val="22"/>
        </w:rPr>
        <w:t xml:space="preserve">will be advertised via email to the </w:t>
      </w:r>
      <w:r w:rsidR="00AB2CAC">
        <w:rPr>
          <w:rFonts w:ascii="Arial" w:hAnsi="Arial" w:cs="Arial"/>
          <w:sz w:val="22"/>
          <w:szCs w:val="22"/>
        </w:rPr>
        <w:t>RTLB</w:t>
      </w:r>
    </w:p>
    <w:p w14:paraId="021B8A81" w14:textId="77777777" w:rsidR="00010E94" w:rsidRPr="0025568D" w:rsidRDefault="00010E94" w:rsidP="00010E94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As vacancies arise RTLB may submit HLN applications </w:t>
      </w:r>
    </w:p>
    <w:p w14:paraId="759D2252" w14:textId="121A98B0" w:rsidR="00010E94" w:rsidRPr="00AB2CAC" w:rsidRDefault="00010E94" w:rsidP="00010E94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Previous HLN applications will need to have updated and current data to be </w:t>
      </w:r>
      <w:r w:rsidRPr="00AB2CAC">
        <w:rPr>
          <w:rFonts w:ascii="Arial" w:hAnsi="Arial" w:cs="Arial"/>
          <w:sz w:val="22"/>
          <w:szCs w:val="22"/>
        </w:rPr>
        <w:t xml:space="preserve">resubmitted for consideration (12 weeks old) </w:t>
      </w:r>
    </w:p>
    <w:p w14:paraId="5731E2BE" w14:textId="77777777" w:rsidR="00AB2CAC" w:rsidRDefault="00010E94" w:rsidP="00AB2CAC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AB2CAC">
        <w:rPr>
          <w:rFonts w:ascii="Arial" w:hAnsi="Arial" w:cs="Arial"/>
          <w:sz w:val="22"/>
          <w:szCs w:val="22"/>
        </w:rPr>
        <w:t xml:space="preserve">All HLN applications will need to be on the correct template </w:t>
      </w:r>
    </w:p>
    <w:p w14:paraId="0794F9E7" w14:textId="2FD488E3" w:rsidR="00010E94" w:rsidRPr="00AB2CAC" w:rsidRDefault="00010E94" w:rsidP="00AB2CAC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AB2CAC">
        <w:rPr>
          <w:rFonts w:ascii="Arial" w:hAnsi="Arial" w:cs="Arial"/>
          <w:sz w:val="22"/>
          <w:szCs w:val="22"/>
        </w:rPr>
        <w:t xml:space="preserve">The HLN Moderation Committee will consider and prioritise applications </w:t>
      </w:r>
    </w:p>
    <w:p w14:paraId="2824B015" w14:textId="77777777" w:rsidR="00AB2CAC" w:rsidRPr="00AB2CAC" w:rsidRDefault="00AB2CAC" w:rsidP="00AB2CAC">
      <w:pPr>
        <w:pStyle w:val="ListParagraph"/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7943D8AC" w14:textId="77777777" w:rsidR="00010E94" w:rsidRPr="0025568D" w:rsidRDefault="00010E94" w:rsidP="00010E94">
      <w:pPr>
        <w:spacing w:line="276" w:lineRule="auto"/>
        <w:ind w:right="-64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b/>
          <w:sz w:val="22"/>
          <w:szCs w:val="22"/>
        </w:rPr>
        <w:t>HLN Moderation Committee</w:t>
      </w:r>
    </w:p>
    <w:p w14:paraId="3ADC42CF" w14:textId="505BEFC6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The HLN Moderation Committee is made up of representation from: Cluster Manager, Practice Leader, </w:t>
      </w:r>
      <w:proofErr w:type="gramStart"/>
      <w:r w:rsidRPr="0025568D">
        <w:rPr>
          <w:rFonts w:ascii="Arial" w:hAnsi="Arial" w:cs="Arial"/>
          <w:sz w:val="22"/>
          <w:szCs w:val="22"/>
        </w:rPr>
        <w:t>RTLB</w:t>
      </w:r>
      <w:proofErr w:type="gramEnd"/>
      <w:r w:rsidRPr="0025568D">
        <w:rPr>
          <w:rFonts w:ascii="Arial" w:hAnsi="Arial" w:cs="Arial"/>
          <w:sz w:val="22"/>
          <w:szCs w:val="22"/>
        </w:rPr>
        <w:t xml:space="preserve"> with HLN expe</w:t>
      </w:r>
      <w:r w:rsidR="000315A8">
        <w:rPr>
          <w:rFonts w:ascii="Arial" w:hAnsi="Arial" w:cs="Arial"/>
          <w:sz w:val="22"/>
          <w:szCs w:val="22"/>
        </w:rPr>
        <w:t>rtise</w:t>
      </w:r>
    </w:p>
    <w:p w14:paraId="2EFBD0A6" w14:textId="77777777" w:rsidR="00010E94" w:rsidRDefault="00010E94" w:rsidP="00010E94">
      <w:pPr>
        <w:spacing w:line="276" w:lineRule="auto"/>
        <w:rPr>
          <w:rFonts w:ascii="Arial" w:hAnsi="Arial" w:cs="Arial"/>
          <w:sz w:val="22"/>
          <w:szCs w:val="22"/>
          <w:highlight w:val="cyan"/>
        </w:rPr>
      </w:pPr>
    </w:p>
    <w:p w14:paraId="0D8034CB" w14:textId="77777777" w:rsidR="00010E94" w:rsidRPr="0025568D" w:rsidRDefault="00010E94" w:rsidP="00010E94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25568D">
        <w:rPr>
          <w:rFonts w:ascii="Arial" w:hAnsi="Arial" w:cs="Arial"/>
          <w:b/>
          <w:sz w:val="22"/>
          <w:szCs w:val="22"/>
          <w:u w:val="single"/>
        </w:rPr>
        <w:t>Provision of Service</w:t>
      </w:r>
    </w:p>
    <w:p w14:paraId="0A7603FA" w14:textId="77777777" w:rsidR="00010E94" w:rsidRDefault="00010E94" w:rsidP="00010E94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RTLB are expected to follow the </w:t>
      </w:r>
      <w:r w:rsidRPr="0025568D">
        <w:rPr>
          <w:rFonts w:ascii="Arial" w:hAnsi="Arial" w:cs="Arial"/>
          <w:i/>
          <w:sz w:val="22"/>
          <w:szCs w:val="22"/>
        </w:rPr>
        <w:t>RTLB Toolkit</w:t>
      </w:r>
      <w:r w:rsidRPr="0025568D">
        <w:rPr>
          <w:rFonts w:ascii="Arial" w:hAnsi="Arial" w:cs="Arial"/>
          <w:sz w:val="22"/>
          <w:szCs w:val="22"/>
        </w:rPr>
        <w:t xml:space="preserve"> (2012) principles and practice sequence (refer: RTLB Toolkit p31-37). </w:t>
      </w:r>
      <w:r>
        <w:rPr>
          <w:rFonts w:ascii="Arial" w:hAnsi="Arial" w:cs="Arial"/>
          <w:sz w:val="22"/>
          <w:szCs w:val="22"/>
        </w:rPr>
        <w:t>The RTLB</w:t>
      </w:r>
      <w:r w:rsidRPr="002556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HLN </w:t>
      </w:r>
      <w:r w:rsidRPr="0025568D">
        <w:rPr>
          <w:rFonts w:ascii="Arial" w:hAnsi="Arial" w:cs="Arial"/>
          <w:sz w:val="22"/>
          <w:szCs w:val="22"/>
        </w:rPr>
        <w:t xml:space="preserve">service will be tailored to meet the needs of individual students and </w:t>
      </w:r>
      <w:r w:rsidRPr="005D0ECE">
        <w:rPr>
          <w:rFonts w:ascii="Arial" w:hAnsi="Arial" w:cs="Arial"/>
          <w:sz w:val="22"/>
          <w:szCs w:val="22"/>
        </w:rPr>
        <w:t>will include</w:t>
      </w:r>
      <w:r>
        <w:rPr>
          <w:rFonts w:ascii="Arial" w:hAnsi="Arial" w:cs="Arial"/>
          <w:sz w:val="22"/>
          <w:szCs w:val="22"/>
        </w:rPr>
        <w:t xml:space="preserve"> supporting the school team in</w:t>
      </w:r>
      <w:r w:rsidRPr="0025568D">
        <w:rPr>
          <w:rFonts w:ascii="Arial" w:hAnsi="Arial" w:cs="Arial"/>
          <w:sz w:val="22"/>
          <w:szCs w:val="22"/>
        </w:rPr>
        <w:t>:</w:t>
      </w:r>
    </w:p>
    <w:p w14:paraId="6C833215" w14:textId="77777777" w:rsidR="00010E94" w:rsidRPr="0025568D" w:rsidRDefault="00010E94" w:rsidP="00010E94">
      <w:pPr>
        <w:pStyle w:val="ListParagraph"/>
        <w:numPr>
          <w:ilvl w:val="0"/>
          <w:numId w:val="5"/>
        </w:num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Ensuring accurate and relevant assessment data to inform next steps</w:t>
      </w:r>
    </w:p>
    <w:p w14:paraId="00254C8A" w14:textId="77777777" w:rsidR="00010E94" w:rsidRDefault="00010E94" w:rsidP="00010E94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Planni</w:t>
      </w:r>
      <w:r>
        <w:rPr>
          <w:rFonts w:ascii="Arial" w:hAnsi="Arial" w:cs="Arial"/>
          <w:sz w:val="22"/>
          <w:szCs w:val="22"/>
        </w:rPr>
        <w:t>ng specific learning programmes</w:t>
      </w:r>
      <w:r w:rsidRPr="005D0ECE">
        <w:rPr>
          <w:rFonts w:ascii="Arial" w:hAnsi="Arial" w:cs="Arial"/>
          <w:sz w:val="22"/>
          <w:szCs w:val="22"/>
        </w:rPr>
        <w:t xml:space="preserve"> </w:t>
      </w:r>
    </w:p>
    <w:p w14:paraId="31F5F5D1" w14:textId="77777777" w:rsidR="00010E94" w:rsidRPr="0025568D" w:rsidRDefault="00010E94" w:rsidP="00010E94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Contributing to student IEPs </w:t>
      </w:r>
    </w:p>
    <w:p w14:paraId="43E428CC" w14:textId="77777777" w:rsidR="00010E94" w:rsidRPr="007F5433" w:rsidRDefault="00010E94" w:rsidP="00010E94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Reporting student progress as pe</w:t>
      </w:r>
      <w:r>
        <w:rPr>
          <w:rFonts w:ascii="Arial" w:hAnsi="Arial" w:cs="Arial"/>
          <w:sz w:val="22"/>
          <w:szCs w:val="22"/>
        </w:rPr>
        <w:t>r RTLB HLN requirement</w:t>
      </w:r>
    </w:p>
    <w:p w14:paraId="22FDE21E" w14:textId="77777777" w:rsidR="00010E94" w:rsidRPr="0025568D" w:rsidRDefault="00010E94" w:rsidP="00010E94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Modelling effective teaching strategies and practices for kaiako/teacher/s and teacher’s aides</w:t>
      </w:r>
    </w:p>
    <w:p w14:paraId="00D861BC" w14:textId="77777777" w:rsidR="00010E94" w:rsidRPr="0025568D" w:rsidRDefault="00010E94" w:rsidP="00010E94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Assisting with differentiating class and </w:t>
      </w:r>
      <w:proofErr w:type="spellStart"/>
      <w:r w:rsidRPr="0025568D">
        <w:rPr>
          <w:rFonts w:ascii="Arial" w:hAnsi="Arial" w:cs="Arial"/>
          <w:sz w:val="22"/>
          <w:szCs w:val="22"/>
        </w:rPr>
        <w:t>kura</w:t>
      </w:r>
      <w:proofErr w:type="spellEnd"/>
      <w:r w:rsidRPr="0025568D">
        <w:rPr>
          <w:rFonts w:ascii="Arial" w:hAnsi="Arial" w:cs="Arial"/>
          <w:sz w:val="22"/>
          <w:szCs w:val="22"/>
        </w:rPr>
        <w:t>/sch</w:t>
      </w:r>
      <w:r>
        <w:rPr>
          <w:rFonts w:ascii="Arial" w:hAnsi="Arial" w:cs="Arial"/>
          <w:sz w:val="22"/>
          <w:szCs w:val="22"/>
        </w:rPr>
        <w:t>ool National Curriculum content</w:t>
      </w:r>
    </w:p>
    <w:p w14:paraId="082A0BB1" w14:textId="77777777" w:rsidR="00010E94" w:rsidRPr="0025568D" w:rsidRDefault="00010E94" w:rsidP="00010E94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Adapting and preparing learning materials and resources appropriate for student</w:t>
      </w:r>
      <w:r>
        <w:rPr>
          <w:rFonts w:ascii="Arial" w:hAnsi="Arial" w:cs="Arial"/>
          <w:sz w:val="22"/>
          <w:szCs w:val="22"/>
        </w:rPr>
        <w:t xml:space="preserve"> needs</w:t>
      </w:r>
    </w:p>
    <w:p w14:paraId="500F4717" w14:textId="77777777" w:rsidR="00010E94" w:rsidRPr="0025568D" w:rsidRDefault="00010E94" w:rsidP="00010E94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Supporting schools in their organisation of alternative provisions for transitioning Year 10</w:t>
      </w:r>
      <w:r>
        <w:rPr>
          <w:rFonts w:ascii="Arial" w:hAnsi="Arial" w:cs="Arial"/>
          <w:sz w:val="22"/>
          <w:szCs w:val="22"/>
        </w:rPr>
        <w:t xml:space="preserve"> and Year 11 HLN students</w:t>
      </w:r>
    </w:p>
    <w:p w14:paraId="75270EC3" w14:textId="77777777" w:rsidR="00010E94" w:rsidRPr="0025568D" w:rsidRDefault="00010E94" w:rsidP="00010E94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Working with specialist MoE services </w:t>
      </w:r>
    </w:p>
    <w:p w14:paraId="766E496B" w14:textId="77777777" w:rsidR="00010E94" w:rsidRPr="0025568D" w:rsidRDefault="00010E94" w:rsidP="00010E94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Review the planning and programme for the student and report twice yearly to schools (end of Term 1 and 3 – in preparation for </w:t>
      </w:r>
      <w:r>
        <w:rPr>
          <w:rFonts w:ascii="Arial" w:hAnsi="Arial" w:cs="Arial"/>
          <w:sz w:val="22"/>
          <w:szCs w:val="22"/>
        </w:rPr>
        <w:t xml:space="preserve">HLN cluster </w:t>
      </w:r>
      <w:r w:rsidRPr="0025568D">
        <w:rPr>
          <w:rFonts w:ascii="Arial" w:hAnsi="Arial" w:cs="Arial"/>
          <w:sz w:val="22"/>
          <w:szCs w:val="22"/>
        </w:rPr>
        <w:t>review)</w:t>
      </w:r>
    </w:p>
    <w:p w14:paraId="0003945F" w14:textId="77777777" w:rsidR="00010E94" w:rsidRPr="0025568D" w:rsidRDefault="00010E94" w:rsidP="00010E94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Keep on-going, cumulative records of RTLB interventions and support</w:t>
      </w:r>
    </w:p>
    <w:p w14:paraId="245FB5CA" w14:textId="77777777" w:rsidR="00010E94" w:rsidRDefault="00010E94" w:rsidP="00010E94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Ensure all student data on HLN applications meets the </w:t>
      </w:r>
      <w:r>
        <w:rPr>
          <w:rFonts w:ascii="Arial" w:hAnsi="Arial" w:cs="Arial"/>
          <w:sz w:val="22"/>
          <w:szCs w:val="22"/>
        </w:rPr>
        <w:t xml:space="preserve">required </w:t>
      </w:r>
      <w:r w:rsidRPr="0025568D">
        <w:rPr>
          <w:rFonts w:ascii="Arial" w:hAnsi="Arial" w:cs="Arial"/>
          <w:sz w:val="22"/>
          <w:szCs w:val="22"/>
          <w:u w:val="single"/>
        </w:rPr>
        <w:t>assessment criteria</w:t>
      </w:r>
      <w:r w:rsidRPr="0025568D">
        <w:rPr>
          <w:rFonts w:ascii="Arial" w:hAnsi="Arial" w:cs="Arial"/>
          <w:sz w:val="22"/>
          <w:szCs w:val="22"/>
        </w:rPr>
        <w:t xml:space="preserve"> </w:t>
      </w:r>
    </w:p>
    <w:p w14:paraId="06CDBF7C" w14:textId="77777777" w:rsidR="00010E94" w:rsidRPr="0025568D" w:rsidRDefault="00010E94" w:rsidP="00010E94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Ensure that the school team are aware of all HLN Cluster review deadlines and review requirements. </w:t>
      </w:r>
    </w:p>
    <w:p w14:paraId="1E37A2B9" w14:textId="77777777" w:rsidR="00010E94" w:rsidRDefault="00010E94" w:rsidP="00010E94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576A448C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25568D">
        <w:rPr>
          <w:rFonts w:ascii="Arial" w:hAnsi="Arial" w:cs="Arial"/>
          <w:sz w:val="22"/>
          <w:szCs w:val="22"/>
          <w:u w:val="single"/>
        </w:rPr>
        <w:t>IEP – Collaboration for Success (</w:t>
      </w:r>
      <w:hyperlink r:id="rId9" w:history="1">
        <w:r w:rsidRPr="0025568D">
          <w:rPr>
            <w:rStyle w:val="Hyperlink"/>
            <w:rFonts w:ascii="Arial" w:hAnsi="Arial" w:cs="Arial"/>
            <w:sz w:val="22"/>
            <w:szCs w:val="22"/>
          </w:rPr>
          <w:t>www.iep.tki.org.nz</w:t>
        </w:r>
      </w:hyperlink>
      <w:r w:rsidRPr="0025568D">
        <w:rPr>
          <w:rFonts w:ascii="Arial" w:hAnsi="Arial" w:cs="Arial"/>
          <w:sz w:val="22"/>
          <w:szCs w:val="22"/>
          <w:u w:val="single"/>
        </w:rPr>
        <w:t>)</w:t>
      </w:r>
    </w:p>
    <w:p w14:paraId="22D48CEF" w14:textId="77777777" w:rsidR="00010E94" w:rsidRPr="0025568D" w:rsidRDefault="00010E94" w:rsidP="00010E94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Each HLN student will have an IEP</w:t>
      </w:r>
    </w:p>
    <w:p w14:paraId="4F2F755B" w14:textId="77777777" w:rsidR="00010E94" w:rsidRDefault="00010E94" w:rsidP="00010E94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The IEP should be collaboratively planned and carried out with the HLN RTLB and should be reviewed twice yearly (but can be more frequent)</w:t>
      </w:r>
    </w:p>
    <w:p w14:paraId="6AB5F74D" w14:textId="77777777" w:rsidR="00010E94" w:rsidRPr="0003597B" w:rsidRDefault="00010E94" w:rsidP="00010E94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RTLB will work collaboratively to ensure that the IEP is informed by accurate and relevant student data </w:t>
      </w:r>
    </w:p>
    <w:p w14:paraId="61DD3D9B" w14:textId="77777777" w:rsidR="00010E94" w:rsidRPr="0025568D" w:rsidRDefault="00010E94" w:rsidP="00010E94">
      <w:pPr>
        <w:pStyle w:val="ListParagraph"/>
        <w:spacing w:line="276" w:lineRule="auto"/>
        <w:rPr>
          <w:rFonts w:ascii="Arial" w:hAnsi="Arial" w:cs="Arial"/>
          <w:sz w:val="22"/>
          <w:szCs w:val="22"/>
        </w:rPr>
      </w:pPr>
    </w:p>
    <w:p w14:paraId="7F914E14" w14:textId="552CC3EE" w:rsidR="00010E94" w:rsidRPr="0025568D" w:rsidRDefault="00010E94" w:rsidP="00010E9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b/>
          <w:sz w:val="22"/>
          <w:szCs w:val="22"/>
        </w:rPr>
        <w:t xml:space="preserve">Ministry of Education </w:t>
      </w:r>
      <w:r w:rsidR="000315A8">
        <w:rPr>
          <w:rFonts w:ascii="Arial" w:hAnsi="Arial" w:cs="Arial"/>
          <w:b/>
          <w:sz w:val="22"/>
          <w:szCs w:val="22"/>
        </w:rPr>
        <w:t xml:space="preserve">In Class Support (ICS) </w:t>
      </w:r>
      <w:r w:rsidRPr="0025568D">
        <w:rPr>
          <w:rFonts w:ascii="Arial" w:hAnsi="Arial" w:cs="Arial"/>
          <w:b/>
          <w:sz w:val="22"/>
          <w:szCs w:val="22"/>
        </w:rPr>
        <w:t>Funding</w:t>
      </w:r>
    </w:p>
    <w:p w14:paraId="046D4F41" w14:textId="460E8D02" w:rsidR="00010E94" w:rsidRPr="0003597B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The Ministry of Education, Special Education has advised that </w:t>
      </w:r>
      <w:r w:rsidR="000315A8">
        <w:rPr>
          <w:rFonts w:ascii="Arial" w:hAnsi="Arial" w:cs="Arial"/>
          <w:sz w:val="22"/>
          <w:szCs w:val="22"/>
        </w:rPr>
        <w:t xml:space="preserve">ICS </w:t>
      </w:r>
      <w:r w:rsidRPr="0025568D">
        <w:rPr>
          <w:rFonts w:ascii="Arial" w:hAnsi="Arial" w:cs="Arial"/>
          <w:sz w:val="22"/>
          <w:szCs w:val="22"/>
        </w:rPr>
        <w:t xml:space="preserve">funding will be provided from 2015 for </w:t>
      </w:r>
      <w:r w:rsidR="000315A8">
        <w:rPr>
          <w:rFonts w:ascii="Arial" w:hAnsi="Arial" w:cs="Arial"/>
          <w:sz w:val="22"/>
          <w:szCs w:val="22"/>
        </w:rPr>
        <w:t>53 highest priority</w:t>
      </w:r>
      <w:r w:rsidRPr="0025568D">
        <w:rPr>
          <w:rFonts w:ascii="Arial" w:hAnsi="Arial" w:cs="Arial"/>
          <w:sz w:val="22"/>
          <w:szCs w:val="22"/>
        </w:rPr>
        <w:t xml:space="preserve"> student</w:t>
      </w:r>
      <w:r w:rsidR="000315A8">
        <w:rPr>
          <w:rFonts w:ascii="Arial" w:hAnsi="Arial" w:cs="Arial"/>
          <w:sz w:val="22"/>
          <w:szCs w:val="22"/>
        </w:rPr>
        <w:t>s</w:t>
      </w:r>
      <w:r w:rsidRPr="0025568D">
        <w:rPr>
          <w:rFonts w:ascii="Arial" w:hAnsi="Arial" w:cs="Arial"/>
          <w:sz w:val="22"/>
          <w:szCs w:val="22"/>
        </w:rPr>
        <w:t xml:space="preserve"> on the </w:t>
      </w:r>
      <w:r>
        <w:rPr>
          <w:rFonts w:ascii="Arial" w:hAnsi="Arial" w:cs="Arial"/>
          <w:sz w:val="22"/>
          <w:szCs w:val="22"/>
        </w:rPr>
        <w:t>Western BoP RTLB HLN roll</w:t>
      </w:r>
      <w:r w:rsidRPr="0025568D">
        <w:rPr>
          <w:rFonts w:ascii="Arial" w:hAnsi="Arial" w:cs="Arial"/>
          <w:sz w:val="22"/>
          <w:szCs w:val="22"/>
        </w:rPr>
        <w:t xml:space="preserve">.   </w:t>
      </w:r>
      <w:r w:rsidR="000315A8">
        <w:rPr>
          <w:rFonts w:ascii="Arial" w:hAnsi="Arial" w:cs="Arial"/>
          <w:sz w:val="22"/>
          <w:szCs w:val="22"/>
        </w:rPr>
        <w:t xml:space="preserve">The RTLB Cluster will identify the highest priority students on the Cluster HLN database and forward these names to MOE. 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08618FF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</w:p>
    <w:p w14:paraId="6379EB2A" w14:textId="77777777" w:rsidR="00010E94" w:rsidRPr="0025568D" w:rsidRDefault="00010E94" w:rsidP="00010E9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5568D">
        <w:rPr>
          <w:rFonts w:ascii="Arial" w:hAnsi="Arial" w:cs="Arial"/>
          <w:b/>
          <w:sz w:val="22"/>
          <w:szCs w:val="22"/>
        </w:rPr>
        <w:t>HLN Review &amp; Discontinuation</w:t>
      </w:r>
    </w:p>
    <w:p w14:paraId="573FA643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25568D">
        <w:rPr>
          <w:rFonts w:ascii="Arial" w:hAnsi="Arial" w:cs="Arial"/>
          <w:sz w:val="22"/>
          <w:szCs w:val="22"/>
          <w:u w:val="single"/>
        </w:rPr>
        <w:t>Review:</w:t>
      </w:r>
    </w:p>
    <w:p w14:paraId="3FDA49C8" w14:textId="228CC70E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There will be an annual review of all HLN students (by the HLN moderation team) in Term 3. All RTLB will be expected to re-assess </w:t>
      </w:r>
      <w:r w:rsidR="000315A8" w:rsidRPr="0025568D">
        <w:rPr>
          <w:rFonts w:ascii="Arial" w:hAnsi="Arial" w:cs="Arial"/>
          <w:sz w:val="22"/>
          <w:szCs w:val="22"/>
        </w:rPr>
        <w:t xml:space="preserve">HLN </w:t>
      </w:r>
      <w:r w:rsidRPr="0025568D">
        <w:rPr>
          <w:rFonts w:ascii="Arial" w:hAnsi="Arial" w:cs="Arial"/>
          <w:sz w:val="22"/>
          <w:szCs w:val="22"/>
        </w:rPr>
        <w:t xml:space="preserve">student </w:t>
      </w:r>
      <w:r w:rsidR="000315A8" w:rsidRPr="0025568D">
        <w:rPr>
          <w:rFonts w:ascii="Arial" w:hAnsi="Arial" w:cs="Arial"/>
          <w:sz w:val="22"/>
          <w:szCs w:val="22"/>
        </w:rPr>
        <w:t>achievements so data is measured against HLN intake criteria in order</w:t>
      </w:r>
      <w:r w:rsidRPr="0025568D">
        <w:rPr>
          <w:rFonts w:ascii="Arial" w:hAnsi="Arial" w:cs="Arial"/>
          <w:sz w:val="22"/>
          <w:szCs w:val="22"/>
        </w:rPr>
        <w:t xml:space="preserve"> to establish </w:t>
      </w:r>
      <w:r w:rsidR="000315A8">
        <w:rPr>
          <w:rFonts w:ascii="Arial" w:hAnsi="Arial" w:cs="Arial"/>
          <w:sz w:val="22"/>
          <w:szCs w:val="22"/>
        </w:rPr>
        <w:t>that</w:t>
      </w:r>
      <w:r w:rsidRPr="0025568D">
        <w:rPr>
          <w:rFonts w:ascii="Arial" w:hAnsi="Arial" w:cs="Arial"/>
          <w:sz w:val="22"/>
          <w:szCs w:val="22"/>
        </w:rPr>
        <w:t xml:space="preserve"> </w:t>
      </w:r>
      <w:r w:rsidR="000315A8">
        <w:rPr>
          <w:rFonts w:ascii="Arial" w:hAnsi="Arial" w:cs="Arial"/>
          <w:sz w:val="22"/>
          <w:szCs w:val="22"/>
        </w:rPr>
        <w:t>the student</w:t>
      </w:r>
      <w:r w:rsidRPr="0025568D">
        <w:rPr>
          <w:rFonts w:ascii="Arial" w:hAnsi="Arial" w:cs="Arial"/>
          <w:sz w:val="22"/>
          <w:szCs w:val="22"/>
        </w:rPr>
        <w:t xml:space="preserve"> continue</w:t>
      </w:r>
      <w:r w:rsidR="000315A8">
        <w:rPr>
          <w:rFonts w:ascii="Arial" w:hAnsi="Arial" w:cs="Arial"/>
          <w:sz w:val="22"/>
          <w:szCs w:val="22"/>
        </w:rPr>
        <w:t>s</w:t>
      </w:r>
      <w:r w:rsidRPr="0025568D">
        <w:rPr>
          <w:rFonts w:ascii="Arial" w:hAnsi="Arial" w:cs="Arial"/>
          <w:sz w:val="22"/>
          <w:szCs w:val="22"/>
        </w:rPr>
        <w:t xml:space="preserve"> to meet criteria for HLN. The HLN Moderation Team will process all review data. </w:t>
      </w:r>
    </w:p>
    <w:p w14:paraId="344D57A5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</w:p>
    <w:p w14:paraId="1628348E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25568D">
        <w:rPr>
          <w:rFonts w:ascii="Arial" w:hAnsi="Arial" w:cs="Arial"/>
          <w:sz w:val="22"/>
          <w:szCs w:val="22"/>
          <w:u w:val="single"/>
        </w:rPr>
        <w:t>Discontinuation from HLN status:</w:t>
      </w:r>
    </w:p>
    <w:p w14:paraId="1F74D65F" w14:textId="3B444B6E" w:rsidR="00010E94" w:rsidRPr="0025568D" w:rsidRDefault="00010E94" w:rsidP="00010E94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Students who are working at an age appropriate level </w:t>
      </w:r>
    </w:p>
    <w:p w14:paraId="6050C97C" w14:textId="77777777" w:rsidR="00010E94" w:rsidRPr="0025568D" w:rsidRDefault="00010E94" w:rsidP="00010E94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Students working within Level 2 of the NZ Curriculum for literacy and numeracy </w:t>
      </w:r>
    </w:p>
    <w:p w14:paraId="164E851F" w14:textId="77777777" w:rsidR="00010E94" w:rsidRPr="0025568D" w:rsidRDefault="00010E94" w:rsidP="00010E94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Students who move out of the RTLB cluster</w:t>
      </w:r>
    </w:p>
    <w:p w14:paraId="5D55BF64" w14:textId="77777777" w:rsidR="00010E94" w:rsidRPr="0025568D" w:rsidRDefault="00010E94" w:rsidP="00010E94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Students who are accepted for ORS funding</w:t>
      </w:r>
    </w:p>
    <w:p w14:paraId="3D9C43F5" w14:textId="77777777" w:rsidR="00010E94" w:rsidRPr="0025568D" w:rsidRDefault="00010E94" w:rsidP="00010E94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>A student’s educational needs are met by the school (i.e., the student transfers to a low student/teacher ratio and has appropriate, well resourced, effective and relevant school-based programmes)</w:t>
      </w:r>
    </w:p>
    <w:p w14:paraId="2EE7E5AC" w14:textId="77777777" w:rsidR="00010E94" w:rsidRPr="0025568D" w:rsidRDefault="00010E94" w:rsidP="00010E94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Year 11 students </w:t>
      </w:r>
      <w:r>
        <w:rPr>
          <w:rFonts w:ascii="Arial" w:hAnsi="Arial" w:cs="Arial"/>
          <w:sz w:val="22"/>
          <w:szCs w:val="22"/>
        </w:rPr>
        <w:t>may</w:t>
      </w:r>
      <w:r w:rsidRPr="0025568D">
        <w:rPr>
          <w:rFonts w:ascii="Arial" w:hAnsi="Arial" w:cs="Arial"/>
          <w:sz w:val="22"/>
          <w:szCs w:val="22"/>
        </w:rPr>
        <w:t xml:space="preserve"> receive a HLN RTLB service that focuses on their transition to other suitable learning support in preparation for Year 12. </w:t>
      </w:r>
    </w:p>
    <w:p w14:paraId="1162BEE5" w14:textId="77777777" w:rsidR="00010E94" w:rsidRPr="0025568D" w:rsidRDefault="00010E94" w:rsidP="00010E94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No students will receive an HLN RTLB service who are Year 12 and beyond. </w:t>
      </w:r>
    </w:p>
    <w:p w14:paraId="14420EA4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</w:p>
    <w:p w14:paraId="45386CF0" w14:textId="77777777" w:rsidR="00010E94" w:rsidRPr="0025568D" w:rsidRDefault="00010E94" w:rsidP="00010E94">
      <w:pPr>
        <w:spacing w:line="276" w:lineRule="auto"/>
        <w:rPr>
          <w:rFonts w:ascii="Arial" w:hAnsi="Arial" w:cs="Arial"/>
          <w:sz w:val="22"/>
          <w:szCs w:val="22"/>
        </w:rPr>
      </w:pPr>
      <w:r w:rsidRPr="0025568D">
        <w:rPr>
          <w:rFonts w:ascii="Arial" w:hAnsi="Arial" w:cs="Arial"/>
          <w:sz w:val="22"/>
          <w:szCs w:val="22"/>
        </w:rPr>
        <w:t xml:space="preserve">Upon discontinuation Western BoP RTLB Cluster closure procedures will be followed.  </w:t>
      </w:r>
    </w:p>
    <w:p w14:paraId="0C7A7E11" w14:textId="3788CB51" w:rsidR="00494DC8" w:rsidRDefault="00494DC8"/>
    <w:sectPr w:rsidR="00494DC8" w:rsidSect="00010E94">
      <w:headerReference w:type="default" r:id="rId10"/>
      <w:pgSz w:w="11900" w:h="16840"/>
      <w:pgMar w:top="1440" w:right="141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34631" w14:textId="77777777" w:rsidR="000315A8" w:rsidRDefault="000315A8" w:rsidP="0047355F">
      <w:r>
        <w:separator/>
      </w:r>
    </w:p>
  </w:endnote>
  <w:endnote w:type="continuationSeparator" w:id="0">
    <w:p w14:paraId="7EF09B50" w14:textId="77777777" w:rsidR="000315A8" w:rsidRDefault="000315A8" w:rsidP="0047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30859" w14:textId="77777777" w:rsidR="000315A8" w:rsidRDefault="000315A8" w:rsidP="0047355F">
      <w:r>
        <w:separator/>
      </w:r>
    </w:p>
  </w:footnote>
  <w:footnote w:type="continuationSeparator" w:id="0">
    <w:p w14:paraId="64202C0F" w14:textId="77777777" w:rsidR="000315A8" w:rsidRDefault="000315A8" w:rsidP="004735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BCE28" w14:textId="77777777" w:rsidR="000315A8" w:rsidRDefault="000315A8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1" layoutInCell="1" allowOverlap="1" wp14:anchorId="3D71A8CD" wp14:editId="4C6595BE">
          <wp:simplePos x="0" y="0"/>
          <wp:positionH relativeFrom="column">
            <wp:posOffset>-1028700</wp:posOffset>
          </wp:positionH>
          <wp:positionV relativeFrom="paragraph">
            <wp:posOffset>-449580</wp:posOffset>
          </wp:positionV>
          <wp:extent cx="7428865" cy="10885805"/>
          <wp:effectExtent l="0" t="0" r="0" b="10795"/>
          <wp:wrapNone/>
          <wp:docPr id="2" name="Picture 2" descr="Macintosh HD:Users:monique:Desktop:RTLB:letter head rtlb copy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monique:Desktop:RTLB:letter head rtlb copy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8865" cy="108858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3899"/>
    <w:multiLevelType w:val="hybridMultilevel"/>
    <w:tmpl w:val="0C28D5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A4FEC"/>
    <w:multiLevelType w:val="hybridMultilevel"/>
    <w:tmpl w:val="2320D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55BAB"/>
    <w:multiLevelType w:val="hybridMultilevel"/>
    <w:tmpl w:val="F094F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21CFE"/>
    <w:multiLevelType w:val="hybridMultilevel"/>
    <w:tmpl w:val="A086D5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9EC55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A15BF"/>
    <w:multiLevelType w:val="hybridMultilevel"/>
    <w:tmpl w:val="DD38531A"/>
    <w:lvl w:ilvl="0" w:tplc="0409000F">
      <w:start w:val="1"/>
      <w:numFmt w:val="decimal"/>
      <w:lvlText w:val="%1."/>
      <w:lvlJc w:val="left"/>
      <w:pPr>
        <w:ind w:left="784" w:hanging="360"/>
      </w:p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>
    <w:nsid w:val="27F52C02"/>
    <w:multiLevelType w:val="hybridMultilevel"/>
    <w:tmpl w:val="F678ED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660C31"/>
    <w:multiLevelType w:val="hybridMultilevel"/>
    <w:tmpl w:val="D5522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3421C4"/>
    <w:multiLevelType w:val="hybridMultilevel"/>
    <w:tmpl w:val="3D4624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633"/>
    <w:rsid w:val="00010E94"/>
    <w:rsid w:val="000315A8"/>
    <w:rsid w:val="00183F10"/>
    <w:rsid w:val="002826EF"/>
    <w:rsid w:val="0047355F"/>
    <w:rsid w:val="00494DC8"/>
    <w:rsid w:val="00610633"/>
    <w:rsid w:val="006E5D9B"/>
    <w:rsid w:val="00774821"/>
    <w:rsid w:val="007E6FDD"/>
    <w:rsid w:val="008A4EB5"/>
    <w:rsid w:val="00AB2CAC"/>
    <w:rsid w:val="00BD2CA7"/>
    <w:rsid w:val="00F2352D"/>
    <w:rsid w:val="00FD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708A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9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6FD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D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35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55F"/>
  </w:style>
  <w:style w:type="paragraph" w:styleId="Footer">
    <w:name w:val="footer"/>
    <w:basedOn w:val="Normal"/>
    <w:link w:val="FooterChar"/>
    <w:uiPriority w:val="99"/>
    <w:unhideWhenUsed/>
    <w:rsid w:val="004735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55F"/>
  </w:style>
  <w:style w:type="paragraph" w:styleId="ListParagraph">
    <w:name w:val="List Paragraph"/>
    <w:basedOn w:val="Normal"/>
    <w:uiPriority w:val="34"/>
    <w:qFormat/>
    <w:rsid w:val="006E5D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5D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9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6FD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FD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35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55F"/>
  </w:style>
  <w:style w:type="paragraph" w:styleId="Footer">
    <w:name w:val="footer"/>
    <w:basedOn w:val="Normal"/>
    <w:link w:val="FooterChar"/>
    <w:uiPriority w:val="99"/>
    <w:unhideWhenUsed/>
    <w:rsid w:val="004735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55F"/>
  </w:style>
  <w:style w:type="paragraph" w:styleId="ListParagraph">
    <w:name w:val="List Paragraph"/>
    <w:basedOn w:val="Normal"/>
    <w:uiPriority w:val="34"/>
    <w:qFormat/>
    <w:rsid w:val="006E5D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5D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hart" Target="charts/chart1.xml"/><Relationship Id="rId9" Type="http://schemas.openxmlformats.org/officeDocument/2006/relationships/hyperlink" Target="http://www.iep.tki.org.nz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onique:Library:Application%20Support:Microsoft:Office:User%20Templates:My%20Templates:Letter%20head%20template%20word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Macro-Enabled_Worksheet1.xlsm"/><Relationship Id="rId2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0861850443599493"/>
          <c:y val="0.0911857164351271"/>
          <c:w val="0.819167014999258"/>
          <c:h val="0.750822039893788"/>
        </c:manualLayout>
      </c:layout>
      <c:lineChart>
        <c:grouping val="standard"/>
        <c:varyColors val="0"/>
        <c:ser>
          <c:idx val="0"/>
          <c:order val="0"/>
          <c:spPr>
            <a:ln w="9488">
              <a:solidFill>
                <a:srgbClr val="63AAFE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63AAFE"/>
              </a:solidFill>
              <a:ln>
                <a:solidFill>
                  <a:srgbClr val="63AAFE"/>
                </a:solidFill>
                <a:prstDash val="solid"/>
              </a:ln>
            </c:spPr>
          </c:marker>
          <c:dPt>
            <c:idx val="11"/>
            <c:bubble3D val="0"/>
            <c:spPr>
              <a:ln w="21347">
                <a:noFill/>
              </a:ln>
            </c:spPr>
          </c:dPt>
          <c:cat>
            <c:numRef>
              <c:f>Sheet1!$B$2:$O$2</c:f>
              <c:numCache>
                <c:formatCode>General</c:formatCode>
                <c:ptCount val="14"/>
                <c:pt idx="0">
                  <c:v>5.0</c:v>
                </c:pt>
                <c:pt idx="1">
                  <c:v>6.0</c:v>
                </c:pt>
                <c:pt idx="2">
                  <c:v>7.0</c:v>
                </c:pt>
                <c:pt idx="3">
                  <c:v>8.0</c:v>
                </c:pt>
                <c:pt idx="4">
                  <c:v>9.0</c:v>
                </c:pt>
                <c:pt idx="5">
                  <c:v>10.0</c:v>
                </c:pt>
                <c:pt idx="6">
                  <c:v>11.0</c:v>
                </c:pt>
                <c:pt idx="7">
                  <c:v>12.0</c:v>
                </c:pt>
                <c:pt idx="8">
                  <c:v>13.0</c:v>
                </c:pt>
                <c:pt idx="9">
                  <c:v>14.0</c:v>
                </c:pt>
                <c:pt idx="10">
                  <c:v>15.0</c:v>
                </c:pt>
                <c:pt idx="11">
                  <c:v>16.0</c:v>
                </c:pt>
                <c:pt idx="12">
                  <c:v>17.0</c:v>
                </c:pt>
                <c:pt idx="13">
                  <c:v>18.0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  <c:pt idx="0">
                  <c:v>3.5</c:v>
                </c:pt>
                <c:pt idx="3">
                  <c:v>5.0</c:v>
                </c:pt>
                <c:pt idx="5">
                  <c:v>6.0</c:v>
                </c:pt>
                <c:pt idx="8">
                  <c:v>7.0</c:v>
                </c:pt>
                <c:pt idx="10">
                  <c:v>7.5</c:v>
                </c:pt>
                <c:pt idx="11">
                  <c:v>8.0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>
          <c:spPr>
            <a:ln w="9488">
              <a:solidFill>
                <a:srgbClr val="000000"/>
              </a:solidFill>
              <a:prstDash val="solid"/>
            </a:ln>
          </c:spPr>
        </c:dropLines>
        <c:marker val="1"/>
        <c:smooth val="0"/>
        <c:axId val="2118043640"/>
        <c:axId val="2117704232"/>
      </c:lineChart>
      <c:catAx>
        <c:axId val="21180436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96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Chronological age</a:t>
                </a:r>
              </a:p>
            </c:rich>
          </c:tx>
          <c:layout>
            <c:manualLayout>
              <c:xMode val="edge"/>
              <c:yMode val="edge"/>
              <c:x val="0.396113364005019"/>
              <c:y val="0.928069483117889"/>
            </c:manualLayout>
          </c:layout>
          <c:overlay val="0"/>
          <c:spPr>
            <a:noFill/>
            <a:ln w="1897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23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17704232"/>
        <c:crossesAt val="3.0"/>
        <c:auto val="1"/>
        <c:lblAlgn val="ctr"/>
        <c:lblOffset val="100"/>
        <c:tickLblSkip val="1"/>
        <c:tickMarkSkip val="1"/>
        <c:noMultiLvlLbl val="0"/>
      </c:catAx>
      <c:valAx>
        <c:axId val="2117704232"/>
        <c:scaling>
          <c:orientation val="minMax"/>
          <c:max val="9.0"/>
          <c:min val="3.0"/>
        </c:scaling>
        <c:delete val="0"/>
        <c:axPos val="l"/>
        <c:majorGridlines>
          <c:spPr>
            <a:ln w="2372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96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Attainment age</a:t>
                </a:r>
              </a:p>
            </c:rich>
          </c:tx>
          <c:layout>
            <c:manualLayout>
              <c:xMode val="edge"/>
              <c:yMode val="edge"/>
              <c:x val="0.0113513120328781"/>
              <c:y val="0.345058299937572"/>
            </c:manualLayout>
          </c:layout>
          <c:overlay val="0"/>
          <c:spPr>
            <a:noFill/>
            <a:ln w="1897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23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18043640"/>
        <c:crosses val="autoZero"/>
        <c:crossBetween val="between"/>
        <c:majorUnit val="1.0"/>
        <c:minorUnit val="1.0"/>
      </c:valAx>
      <c:spPr>
        <a:solidFill>
          <a:srgbClr val="C0C0C0"/>
        </a:solidFill>
        <a:ln w="9488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2372">
      <a:solidFill>
        <a:srgbClr val="000000"/>
      </a:solidFill>
      <a:prstDash val="solid"/>
    </a:ln>
  </c:spPr>
  <c:txPr>
    <a:bodyPr/>
    <a:lstStyle/>
    <a:p>
      <a:pPr algn="ctr">
        <a:defRPr sz="181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0.11875</cdr:x>
      <cdr:y>0.59025</cdr:y>
    </cdr:from>
    <cdr:to>
      <cdr:x>0.313</cdr:x>
      <cdr:y>0.80575</cdr:y>
    </cdr:to>
    <cdr:sp macro="" textlink="">
      <cdr:nvSpPr>
        <cdr:cNvPr id="2049" name="Line 1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1189911" y="2646150"/>
          <a:ext cx="1946443" cy="966108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DD0806" mc:Ignorable="a14" a14:legacySpreadsheetColorIndex="10"/>
          </a:solidFill>
          <a:round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0.313</cdr:x>
      <cdr:y>0.44475</cdr:y>
    </cdr:from>
    <cdr:to>
      <cdr:x>0.441</cdr:x>
      <cdr:y>0.59025</cdr:y>
    </cdr:to>
    <cdr:sp macro="" textlink="">
      <cdr:nvSpPr>
        <cdr:cNvPr id="2050" name="Line 2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3136354" y="1993859"/>
          <a:ext cx="1282598" cy="652291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DD0806" mc:Ignorable="a14" a14:legacySpreadsheetColorIndex="10"/>
          </a:solidFill>
          <a:round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0.441</cdr:x>
      <cdr:y>0.3045</cdr:y>
    </cdr:from>
    <cdr:to>
      <cdr:x>0.63375</cdr:x>
      <cdr:y>0.44475</cdr:y>
    </cdr:to>
    <cdr:sp macro="" textlink="">
      <cdr:nvSpPr>
        <cdr:cNvPr id="2051" name="Line 3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4418952" y="1365104"/>
          <a:ext cx="1931413" cy="628755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DD0806" mc:Ignorable="a14" a14:legacySpreadsheetColorIndex="10"/>
          </a:solidFill>
          <a:round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0.63375</cdr:x>
      <cdr:y>0.23525</cdr:y>
    </cdr:from>
    <cdr:to>
      <cdr:x>0.761</cdr:x>
      <cdr:y>0.3045</cdr:y>
    </cdr:to>
    <cdr:sp macro="" textlink="">
      <cdr:nvSpPr>
        <cdr:cNvPr id="2052" name="Line 4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6350365" y="1054649"/>
          <a:ext cx="1275083" cy="310455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DD0806" mc:Ignorable="a14" a14:legacySpreadsheetColorIndex="10"/>
          </a:solidFill>
          <a:round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0.761</cdr:x>
      <cdr:y>0.1625</cdr:y>
    </cdr:from>
    <cdr:to>
      <cdr:x>0.826</cdr:x>
      <cdr:y>0.23525</cdr:y>
    </cdr:to>
    <cdr:sp macro="" textlink="">
      <cdr:nvSpPr>
        <cdr:cNvPr id="2053" name="Line 5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7625448" y="728504"/>
          <a:ext cx="651320" cy="326145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DD0806" mc:Ignorable="a14" a14:legacySpreadsheetColorIndex="10"/>
          </a:solidFill>
          <a:round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0.18575</cdr:x>
      <cdr:y>0.73225</cdr:y>
    </cdr:from>
    <cdr:to>
      <cdr:x>0.18575</cdr:x>
      <cdr:y>0.894</cdr:y>
    </cdr:to>
    <cdr:sp macro="" textlink="">
      <cdr:nvSpPr>
        <cdr:cNvPr id="2054" name="Line 6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1861271" y="3282750"/>
          <a:ext cx="0" cy="725141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6350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round/>
          <a:headEnd/>
          <a:tailEnd type="triangle" w="med" len="med"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0.24675</cdr:x>
      <cdr:y>0.67225</cdr:y>
    </cdr:from>
    <cdr:to>
      <cdr:x>0.24675</cdr:x>
      <cdr:y>0.894</cdr:y>
    </cdr:to>
    <cdr:sp macro="" textlink="">
      <cdr:nvSpPr>
        <cdr:cNvPr id="2055" name="Line 7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2472509" y="3013764"/>
          <a:ext cx="0" cy="994127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3175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round/>
          <a:headEnd/>
          <a:tailEnd type="triangle" w="med" len="med"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0.37625</cdr:x>
      <cdr:y>0.5235</cdr:y>
    </cdr:from>
    <cdr:to>
      <cdr:x>0.37625</cdr:x>
      <cdr:y>0.894</cdr:y>
    </cdr:to>
    <cdr:sp macro="" textlink="">
      <cdr:nvSpPr>
        <cdr:cNvPr id="2056" name="Line 8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3770138" y="2346903"/>
          <a:ext cx="0" cy="1660988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round/>
          <a:headEnd/>
          <a:tailEnd type="triangle" w="med" len="med"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0.50425</cdr:x>
      <cdr:y>0.402</cdr:y>
    </cdr:from>
    <cdr:to>
      <cdr:x>0.50425</cdr:x>
      <cdr:y>0.894</cdr:y>
    </cdr:to>
    <cdr:sp macro="" textlink="">
      <cdr:nvSpPr>
        <cdr:cNvPr id="2057" name="Line 9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5052736" y="1802206"/>
          <a:ext cx="0" cy="2205685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round/>
          <a:headEnd/>
          <a:tailEnd type="triangle" w="med" len="med"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0.56675</cdr:x>
      <cdr:y>0.35325</cdr:y>
    </cdr:from>
    <cdr:to>
      <cdr:x>0.56675</cdr:x>
      <cdr:y>0.894</cdr:y>
    </cdr:to>
    <cdr:sp macro="" textlink="">
      <cdr:nvSpPr>
        <cdr:cNvPr id="2058" name="Line 10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5679005" y="1583655"/>
          <a:ext cx="0" cy="2424236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round/>
          <a:headEnd/>
          <a:tailEnd type="triangle" w="med" len="med"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0.697</cdr:x>
      <cdr:y>0.2685</cdr:y>
    </cdr:from>
    <cdr:to>
      <cdr:x>0.697</cdr:x>
      <cdr:y>0.894</cdr:y>
    </cdr:to>
    <cdr:sp macro="" textlink="">
      <cdr:nvSpPr>
        <cdr:cNvPr id="2059" name="Line 11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6984149" y="1203712"/>
          <a:ext cx="0" cy="2804179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round/>
          <a:headEnd/>
          <a:tailEnd type="triangle" w="med" len="med"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head template word.dotx</Template>
  <TotalTime>16</TotalTime>
  <Pages>3</Pages>
  <Words>952</Words>
  <Characters>5429</Characters>
  <Application>Microsoft Macintosh Word</Application>
  <DocSecurity>0</DocSecurity>
  <Lines>45</Lines>
  <Paragraphs>12</Paragraphs>
  <ScaleCrop>false</ScaleCrop>
  <Company/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Storey</dc:creator>
  <cp:keywords/>
  <dc:description/>
  <cp:lastModifiedBy>Teacher</cp:lastModifiedBy>
  <cp:revision>4</cp:revision>
  <cp:lastPrinted>2015-06-05T01:50:00Z</cp:lastPrinted>
  <dcterms:created xsi:type="dcterms:W3CDTF">2015-06-05T02:00:00Z</dcterms:created>
  <dcterms:modified xsi:type="dcterms:W3CDTF">2015-11-09T02:05:00Z</dcterms:modified>
</cp:coreProperties>
</file>